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40.png" ContentType="image/png"/>
  <Override PartName="/word/media/rId111.png" ContentType="image/png"/>
  <Override PartName="/word/media/rId21.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 – Discriminating Seagrasses From Green Macroalgae in European Intertidal areas using high resolution multispectral drone imagery – Draft</w:t>
      </w:r>
    </w:p>
    <w:p>
      <w:pPr>
        <w:pStyle w:val="Author"/>
      </w:pPr>
      <w:r>
        <w:t xml:space="preserve">Simon Oiry</w:t>
      </w:r>
    </w:p>
    <w:p>
      <w:pPr>
        <w:pStyle w:val="Author"/>
      </w:pPr>
      <w:r>
        <w:t xml:space="preserve">Bede Ffinian Rowe Davies</w:t>
      </w:r>
    </w:p>
    <w:p>
      <w:pPr>
        <w:pStyle w:val="Author"/>
      </w:pPr>
      <w:r>
        <w:t xml:space="preserve">Ana I. Sousa</w:t>
      </w:r>
    </w:p>
    <w:p>
      <w:pPr>
        <w:pStyle w:val="Author"/>
      </w:pPr>
      <w:r>
        <w:t xml:space="preserve">Philippe Rosa</w:t>
      </w:r>
    </w:p>
    <w:p>
      <w:pPr>
        <w:pStyle w:val="Author"/>
      </w:pPr>
      <w:r>
        <w:t xml:space="preserve">Maria Laura Zoffoli</w:t>
      </w:r>
    </w:p>
    <w:p>
      <w:pPr>
        <w:pStyle w:val="Author"/>
      </w:pPr>
      <w:r>
        <w:t xml:space="preserve">Guillaume Brunier</w:t>
      </w:r>
    </w:p>
    <w:p>
      <w:pPr>
        <w:pStyle w:val="Author"/>
      </w:pPr>
      <w:r>
        <w:t xml:space="preserve">Pierre Gernez</w:t>
      </w:r>
    </w:p>
    <w:p>
      <w:pPr>
        <w:pStyle w:val="Author"/>
      </w:pPr>
      <w:r>
        <w:t xml:space="preserve">Laurent Barillé</w:t>
      </w:r>
    </w:p>
    <w:p>
      <w:pPr>
        <w:pStyle w:val="Date"/>
      </w:pPr>
      <w:r>
        <w:t xml:space="preserve">2024-11-14</w:t>
      </w:r>
    </w:p>
    <w:p>
      <w:pPr>
        <w:pStyle w:val="AbstractTitle"/>
      </w:pPr>
      <w:r>
        <w:t xml:space="preserve">Abstract</w:t>
      </w:r>
    </w:p>
    <w:p>
      <w:pPr>
        <w:pStyle w:val="Abstract"/>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w:t>
      </w:r>
    </w:p>
    <w:bookmarkStart w:id="20" w:name="introduction"/>
    <w:p>
      <w:pPr>
        <w:pStyle w:val="Titre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Corpsdetexte"/>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w:t>
      </w:r>
      <w:r>
        <w:t xml:space="preserve"> </w:t>
      </w:r>
      <w:r>
        <w:rPr>
          <w:b/>
          <w:bCs/>
        </w:rPr>
        <w:t xml:space="preserve">drone</w:t>
      </w:r>
      <w:r>
        <w:t xml:space="preserve"> </w:t>
      </w:r>
      <w:r>
        <w:t xml:space="preserve">flights over a single study site, restricting the generalizability of their application over wider geographical scales</w:t>
      </w:r>
      <w:r>
        <w:t xml:space="preserve"> </w:t>
      </w:r>
      <w:r>
        <w:t xml:space="preserve">(Brunier et al., 2022; Collin et al., 2019; Román et al., 2021; Rossiter et al., 2020)</w:t>
      </w:r>
      <w:r>
        <w:t xml:space="preserve">.</w:t>
      </w:r>
      <w:r>
        <w:t xml:space="preserve"> </w:t>
      </w:r>
      <w:r>
        <w:rPr>
          <w:b/>
          <w:bCs/>
        </w:rPr>
        <w:t xml:space="preserve">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w:t>
      </w:r>
      <w:r>
        <w:t xml:space="preserve"> </w:t>
      </w:r>
      <w:r>
        <w:t xml:space="preserve">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w:t>
      </w:r>
      <w:r>
        <w:t xml:space="preserve"> </w:t>
      </w:r>
      <w:r>
        <w:rPr>
          <w:b/>
          <w:bCs/>
        </w:rPr>
        <w:t xml:space="preserve">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
    <w:bookmarkStart w:id="58" w:name="material-methods"/>
    <w:p>
      <w:pPr>
        <w:pStyle w:val="Titre1"/>
      </w:pPr>
      <w:r>
        <w:t xml:space="preserve">2. Material &amp; Methods</w:t>
      </w:r>
    </w:p>
    <w:bookmarkStart w:id="26" w:name="study-sites"/>
    <w:p>
      <w:pPr>
        <w:pStyle w:val="Titre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Lienhypertexte"/>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Lienhypertexte"/>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5943600" cy="594360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Brown areas represents the intertidal zone.</w:t>
            </w:r>
          </w:p>
          <w:bookmarkEnd w:id="24"/>
        </w:tc>
      </w:tr>
    </w:tbl>
    <w:bookmarkEnd w:id="25"/>
    <w:bookmarkEnd w:id="26"/>
    <w:bookmarkStart w:id="38" w:name="field-sampling"/>
    <w:p>
      <w:pPr>
        <w:pStyle w:val="Titre2"/>
      </w:pPr>
      <w:r>
        <w:t xml:space="preserve">2.2 Field sampling</w:t>
      </w:r>
    </w:p>
    <w:bookmarkStart w:id="31" w:name="drone-acquisition"/>
    <w:p>
      <w:pPr>
        <w:pStyle w:val="Titre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 xml:space="preserve">Table 1</w:t>
        </w:r>
      </w:hyperlink>
      <w:r>
        <w:t xml:space="preserve">).</w:t>
      </w:r>
      <w:r>
        <w:t xml:space="preserve"> </w:t>
      </w:r>
      <w:r>
        <w:rPr>
          <w:b/>
          <w:bCs/>
        </w:rPr>
        <w:t xml:space="preserve">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flights, summarising the date, the altitude, and the purpose of each flight. 12 m and 120 m flights have a spatial resolution of 8 and 80 mm respectively.</w:t>
            </w:r>
          </w:p>
          <w:p>
            <w:pPr>
              <w:jc w:val="center"/>
            </w:pPr>
            <w:r>
              <w:drawing>
                <wp:inline>
                  <wp:extent cx="5943600" cy="2607746"/>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943600" cy="2607746"/>
                          </a:xfrm>
                          <a:prstGeom prst="rect">
                            <a:avLst/>
                          </a:prstGeom>
                          <a:noFill/>
                          <a:ln w="9525">
                            <a:noFill/>
                            <a:headEnd/>
                            <a:tailEnd/>
                          </a:ln>
                        </pic:spPr>
                      </pic:pic>
                    </a:graphicData>
                  </a:graphic>
                </wp:inline>
              </w:drawing>
            </w:r>
          </w:p>
          <w:bookmarkEnd w:id="30"/>
        </w:tc>
      </w:tr>
    </w:tbl>
    <w:bookmarkEnd w:id="31"/>
    <w:bookmarkStart w:id="37" w:name="ground-control-points"/>
    <w:p>
      <w:pPr>
        <w:pStyle w:val="Titre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w:t>
      </w:r>
      <w:r>
        <w:t xml:space="preserve"> </w:t>
      </w:r>
      <w:r>
        <w:rPr>
          <w:b/>
          <w:bCs/>
        </w:rPr>
        <w:t xml:space="preserve">(benthic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w:t>
      </w:r>
      <w:r>
        <w:t xml:space="preserv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943600" cy="4160520"/>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w:t>
            </w:r>
            <w:r>
              <w:t xml:space="preserve"> </w:t>
            </w:r>
            <w:r>
              <w:rPr>
                <w:b/>
                <w:bCs/>
              </w:rPr>
              <w:t xml:space="preserve">The taxonomy was chacked following the World Register of Marine Species (WORMS).</w:t>
            </w:r>
          </w:p>
          <w:bookmarkEnd w:id="35"/>
        </w:tc>
      </w:tr>
    </w:tbl>
    <w:bookmarkEnd w:id="36"/>
    <w:bookmarkEnd w:id="37"/>
    <w:bookmarkEnd w:id="38"/>
    <w:bookmarkStart w:id="39" w:name="drone-processing"/>
    <w:p>
      <w:pPr>
        <w:pStyle w:val="Titre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 xml:space="preserve">Table 1</w:t>
        </w:r>
      </w:hyperlink>
      <w:r>
        <w:t xml:space="preserve">).</w:t>
      </w:r>
    </w:p>
    <w:bookmarkEnd w:id="39"/>
    <w:bookmarkStart w:id="54" w:name="general-workflow"/>
    <w:p>
      <w:pPr>
        <w:pStyle w:val="Titre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 xml:space="preserve">Figure 2</w:t>
        </w:r>
      </w:hyperlink>
      <w:r>
        <w:t xml:space="preserve"> </w:t>
      </w:r>
      <w:r>
        <w:t xml:space="preserve">F). To overcome this challenge, a deep learning classification method was trained, validated, and applied to each drone flight (</w:t>
      </w:r>
      <w:hyperlink w:anchor="fig-workflow">
        <w:r>
          <w:rPr>
            <w:rStyle w:val="Lienhypertexte"/>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943600" cy="3494960"/>
                  <wp:effectExtent b="0" l="0" r="0" t="0"/>
                  <wp:docPr descr="" title="" id="41" name="Picture"/>
                  <a:graphic>
                    <a:graphicData uri="http://schemas.openxmlformats.org/drawingml/2006/picture">
                      <pic:pic>
                        <pic:nvPicPr>
                          <pic:cNvPr descr="./Figures/High_res/Figure3_workflow.png" id="42" name="Picture"/>
                          <pic:cNvPicPr>
                            <a:picLocks noChangeArrowheads="1" noChangeAspect="1"/>
                          </pic:cNvPicPr>
                        </pic:nvPicPr>
                        <pic:blipFill>
                          <a:blip r:embed="rId40"/>
                          <a:stretch>
                            <a:fillRect/>
                          </a:stretch>
                        </pic:blipFill>
                        <pic:spPr bwMode="auto">
                          <a:xfrm>
                            <a:off x="0" y="0"/>
                            <a:ext cx="5943600" cy="3494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43"/>
        </w:tc>
      </w:tr>
    </w:tbl>
    <w:bookmarkEnd w:id="44"/>
    <w:bookmarkStart w:id="51" w:name="training-dataset-building"/>
    <w:p>
      <w:pPr>
        <w:pStyle w:val="Titre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943600" cy="2117594"/>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943600" cy="2117594"/>
                          </a:xfrm>
                          <a:prstGeom prst="rect">
                            <a:avLst/>
                          </a:prstGeom>
                          <a:noFill/>
                          <a:ln w="9525">
                            <a:noFill/>
                            <a:headEnd/>
                            <a:tailEnd/>
                          </a:ln>
                        </pic:spPr>
                      </pic:pic>
                    </a:graphicData>
                  </a:graphic>
                </wp:inline>
              </w:drawing>
            </w:r>
          </w:p>
          <w:bookmarkEnd w:id="48"/>
        </w:tc>
      </w:tr>
    </w:tbl>
    <w:p>
      <w:pPr>
        <w:pStyle w:val="Corpsdetexte"/>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 xml:space="preserve">Table 1</w:t>
        </w:r>
      </w:hyperlink>
      <w:r>
        <w:t xml:space="preserve">) were used for training because their 8 mm spatial resolution allowed to avoid spectral sub-pixel mixing and to accurately identify vegetation classes.</w:t>
      </w:r>
      <w:r>
        <w:t xml:space="preserve"> </w:t>
      </w:r>
      <w:r>
        <w:rPr>
          <w:b/>
          <w:bCs/>
        </w:rPr>
        <w:t xml:space="preserve">In the field, seagrasses displayed two types of color were observed (i.e. whereas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w:t>
      </w:r>
      <w:r>
        <w:t xml:space="preserve"> </w:t>
      </w:r>
      <w:r>
        <w:t xml:space="preserve">More than 418,000 pixels at 8 mm resolution from the 3 training flights were used to train the model (</w:t>
      </w:r>
      <w:hyperlink w:anchor="tbl-validationPX">
        <w:r>
          <w:rPr>
            <w:rStyle w:val="Lienhypertexte"/>
          </w:rPr>
          <w:t xml:space="preserve">Table 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Lienhypertexte"/>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Lienhypertexte"/>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Corpsdetexte"/>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Corpsdetexte"/>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Titre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52"/>
    <w:bookmarkStart w:id="53" w:name="validation"/>
    <w:p>
      <w:pPr>
        <w:pStyle w:val="Titre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Lienhypertexte"/>
          </w:rPr>
          <w:t xml:space="preserve">Figure 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Corpsdetexte"/>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Corpsdetexte"/>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Corpsdetexte"/>
      </w:pPr>
      <w:r>
        <w:t xml:space="preserve">All validation matrices were then aggregated to create an overall matrix</w:t>
      </w:r>
    </w:p>
    <w:bookmarkEnd w:id="53"/>
    <w:bookmarkEnd w:id="54"/>
    <w:bookmarkStart w:id="55" w:name="variable-importance"/>
    <w:p>
      <w:pPr>
        <w:pStyle w:val="Titre2"/>
      </w:pPr>
      <w:r>
        <w:t xml:space="preserve">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Titre2"/>
      </w:pPr>
      <w:r>
        <w:t xml:space="preserve">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w:t>
      </w:r>
      <w:r>
        <w:t xml:space="preserve"> </w:t>
      </w:r>
      <w:r>
        <w:rPr>
          <w:b/>
          <w:bCs/>
        </w:rPr>
        <w:t xml:space="preserve">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56"/>
    <w:bookmarkStart w:id="57" w:name="Xb80c26d4e7d26e390b07274c04fd63576f6b171"/>
    <w:p>
      <w:pPr>
        <w:pStyle w:val="Titre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57"/>
    <w:bookmarkEnd w:id="58"/>
    <w:bookmarkStart w:id="110" w:name="results"/>
    <w:p>
      <w:pPr>
        <w:pStyle w:val="Titre1"/>
      </w:pPr>
      <w:r>
        <w:t xml:space="preserve">3. Results</w:t>
      </w:r>
    </w:p>
    <w:bookmarkStart w:id="64" w:name="Xf1ee785dcb5d546ca07f6c913dc8f3105a0e5cf"/>
    <w:p>
      <w:pPr>
        <w:pStyle w:val="Titre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Lienhypertexte"/>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5943600" cy="2552342"/>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5943600" cy="2552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 xml:space="preserve">Equation 1</w:t>
              </w:r>
            </w:hyperlink>
            <w:r>
              <w:t xml:space="preserve">).</w:t>
            </w:r>
          </w:p>
          <w:bookmarkEnd w:id="62"/>
        </w:tc>
      </w:tr>
    </w:tbl>
    <w:bookmarkEnd w:id="63"/>
    <w:p>
      <w:pPr>
        <w:pStyle w:val="Corpsdetexte"/>
      </w:pPr>
      <w:r>
        <w:t xml:space="preserve">There was a slight underestimation of raw reflectance values in the high-altitude flight, particularly for higher reflectance values (</w:t>
      </w:r>
      <w:hyperlink w:anchor="fig-CompareRef">
        <w:r>
          <w:rPr>
            <w:rStyle w:val="Lienhypertexte"/>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 xml:space="preserve">Equation 1</w:t>
        </w:r>
      </w:hyperlink>
      <w:r>
        <w:t xml:space="preserve"> </w:t>
      </w:r>
      <w:r>
        <w:t xml:space="preserve">;</w:t>
      </w:r>
      <w:r>
        <w:t xml:space="preserve"> </w:t>
      </w:r>
      <w:hyperlink w:anchor="fig-CompareRef">
        <w:r>
          <w:rPr>
            <w:rStyle w:val="Lienhypertexte"/>
          </w:rPr>
          <w:t xml:space="preserve">Figure 4</w:t>
        </w:r>
      </w:hyperlink>
      <w:r>
        <w:t xml:space="preserve"> </w:t>
      </w:r>
      <w:r>
        <w:t xml:space="preserve">B).</w:t>
      </w:r>
    </w:p>
    <w:bookmarkEnd w:id="64"/>
    <w:bookmarkStart w:id="85" w:name="classification"/>
    <w:p>
      <w:pPr>
        <w:pStyle w:val="Titre2"/>
      </w:pPr>
      <w:r>
        <w:t xml:space="preserve">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 xml:space="preserve">Figure 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5943600" cy="3092529"/>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5943600" cy="3092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The zoom covers an area equivalent to a 10-meter Sentinel-2 pixel size.</w:t>
            </w:r>
          </w:p>
          <w:bookmarkEnd w:id="68"/>
        </w:tc>
      </w:tr>
    </w:tbl>
    <w:bookmarkEnd w:id="69"/>
    <w:p>
      <w:pPr>
        <w:pStyle w:val="Corpsdetexte"/>
      </w:pPr>
      <w:r>
        <w:t xml:space="preserve">The high-altitude flight over Gafanha covered a total area of ~1 km² (</w:t>
      </w:r>
      <w:hyperlink w:anchor="fig-GafHigh">
        <w:r>
          <w:rPr>
            <w:rStyle w:val="Lienhypertexte"/>
          </w:rPr>
          <w:t xml:space="preserve">Figure 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5943600" cy="5053728"/>
                  <wp:effectExtent b="0" l="0" r="0" t="0"/>
                  <wp:docPr descr="" title="" id="71" name="Picture"/>
                  <a:graphic>
                    <a:graphicData uri="http://schemas.openxmlformats.org/drawingml/2006/picture">
                      <pic:pic>
                        <pic:nvPicPr>
                          <pic:cNvPr descr="./Figures/Low_res/Maps%20Pred/FigX-Gaf_High_Pred1.png" id="72" name="Picture"/>
                          <pic:cNvPicPr>
                            <a:picLocks noChangeArrowheads="1" noChangeAspect="1"/>
                          </pic:cNvPicPr>
                        </pic:nvPicPr>
                        <pic:blipFill>
                          <a:blip r:embed="rId70"/>
                          <a:stretch>
                            <a:fillRect/>
                          </a:stretch>
                        </pic:blipFill>
                        <pic:spPr bwMode="auto">
                          <a:xfrm>
                            <a:off x="0" y="0"/>
                            <a:ext cx="5943600" cy="5053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Lienhypertexte"/>
                </w:rPr>
                <w:t xml:space="preserve">Figure 5</w:t>
              </w:r>
            </w:hyperlink>
            <w:r>
              <w:t xml:space="preserve">. The zoom covers an area equivalent to a 10-meter Sentinel-2 pixel size.</w:t>
            </w:r>
          </w:p>
          <w:bookmarkEnd w:id="73"/>
        </w:tc>
      </w:tr>
    </w:tbl>
    <w:bookmarkEnd w:id="74"/>
    <w:p>
      <w:pPr>
        <w:pStyle w:val="Corpsdetexte"/>
      </w:pPr>
      <w:r>
        <w:t xml:space="preserve">Among the high altitude flights, the one acquired over the inner part of Ria de Aveiro coastal lagoon covered the largest area with approximately 1.5 km² (</w:t>
      </w:r>
      <w:hyperlink w:anchor="fig-Boat">
        <w:r>
          <w:rPr>
            <w:rStyle w:val="Lienhypertexte"/>
          </w:rPr>
          <w:t xml:space="preserve">Figure 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5943600" cy="7501828"/>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5943600" cy="75018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78"/>
        </w:tc>
      </w:tr>
    </w:tbl>
    <w:bookmarkEnd w:id="79"/>
    <w:p>
      <w:pPr>
        <w:pStyle w:val="Corpsdetexte"/>
      </w:pPr>
      <w:r>
        <w:t xml:space="preserve">The flight over L’Epine in Noirmoutier Island, France (</w:t>
      </w:r>
      <w:hyperlink w:anchor="fig-Dike">
        <w:r>
          <w:rPr>
            <w:rStyle w:val="Lienhypertexte"/>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Lienhypertexte"/>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5943600" cy="4962049"/>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5943600" cy="49620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The zoom covers an area equivalent to a 10-meter Sentinel-2 pixel size.</w:t>
            </w:r>
          </w:p>
          <w:bookmarkEnd w:id="83"/>
        </w:tc>
      </w:tr>
    </w:tbl>
    <w:bookmarkEnd w:id="84"/>
    <w:bookmarkEnd w:id="85"/>
    <w:bookmarkStart w:id="91" w:name="validation-of-the-model"/>
    <w:p>
      <w:pPr>
        <w:pStyle w:val="Titre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Lienhypertexte"/>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5943600" cy="3979341"/>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5943600" cy="3979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Corpsdetexte"/>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Titre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Lienhypertexte"/>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Titre2"/>
      </w:pPr>
      <w:r>
        <w:t xml:space="preserve">3.5 Effect of spatial resolution on the classification</w:t>
      </w:r>
    </w:p>
    <w:p>
      <w:pPr>
        <w:pStyle w:val="FirstParagraph"/>
      </w:pPr>
      <w:r>
        <w:t xml:space="preserve">Clear differences were seen in vegetation loss across spatial resolutions and vegetation classes (</w:t>
      </w:r>
      <w:hyperlink w:anchor="fig-pixelsize">
        <w:r>
          <w:rPr>
            <w:rStyle w:val="Lienhypertexte"/>
          </w:rPr>
          <w:t xml:space="preserve">Figure 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5349240" cy="4312690"/>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X7d8c98344fb9b0b2820ed333ea1419091199e0e"/>
    <w:p>
      <w:pPr>
        <w:pStyle w:val="Titre2"/>
      </w:pPr>
      <w:r>
        <w:t xml:space="preserve">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Lienhypertexte"/>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5349240" cy="7177707"/>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5349240" cy="7177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7"/>
        </w:tc>
      </w:tr>
    </w:tbl>
    <w:bookmarkEnd w:id="108"/>
    <w:p>
      <w:pPr>
        <w:pStyle w:val="Corpsdetexte"/>
      </w:pPr>
      <w:r>
        <w:t xml:space="preserve">A percent cover of at least 80% was sufficient to have all the 80 mm pixels correctly classified, with the exception of Magnoliopsida which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benthic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09"/>
    <w:bookmarkEnd w:id="110"/>
    <w:bookmarkStart w:id="125" w:name="discussion"/>
    <w:p>
      <w:pPr>
        <w:pStyle w:val="Titre1"/>
      </w:pPr>
      <w:r>
        <w:t xml:space="preserve">4. Discussion</w:t>
      </w:r>
    </w:p>
    <w:bookmarkStart w:id="121" w:name="vegetation-discrimination"/>
    <w:p>
      <w:pPr>
        <w:pStyle w:val="Titre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5943600" cy="2755934"/>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5943600" cy="27559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Christensen et al. (1977)</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Lienhypertexte"/>
                </w:rPr>
                <w:t xml:space="preserve">Figure 9</w:t>
              </w:r>
            </w:hyperlink>
            <w:r>
              <w:t xml:space="preserve"> </w:t>
            </w:r>
            <w:r>
              <w:t xml:space="preserve">focusing on green macrophytes. The labels inside the matrix indicate the number of pixels.</w:t>
            </w:r>
          </w:p>
          <w:bookmarkEnd w:id="119"/>
        </w:tc>
      </w:tr>
    </w:tbl>
    <w:bookmarkEnd w:id="120"/>
    <w:p>
      <w:pPr>
        <w:pStyle w:val="Corpsdetexte"/>
      </w:pPr>
      <w:r>
        <w:t xml:space="preserve">Meeting these two criteria, the Micasense RedEdge-MX DUAL camera used in this study, enabled the classifier to achieve 97% accuracy between these two classes (</w:t>
      </w:r>
      <w:hyperlink w:anchor="fig-ValidationGreen">
        <w:r>
          <w:rPr>
            <w:rStyle w:val="Lienhypertexte"/>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Corpsdetexte"/>
      </w:pPr>
      <w:r>
        <w:t xml:space="preserve">The variable importance analysis (</w:t>
      </w:r>
      <w:hyperlink w:anchor="fig-VIP">
        <w:r>
          <w:rPr>
            <w:rStyle w:val="Lienhypertexte"/>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Lienhypertexte"/>
          </w:rPr>
          <w:t xml:space="preserve">Figure 10</w:t>
        </w:r>
      </w:hyperlink>
      <w:r>
        <w:t xml:space="preserve"> </w:t>
      </w:r>
      <w:r>
        <w:t xml:space="preserve">;</w:t>
      </w:r>
      <w:r>
        <w:t xml:space="preserve"> </w:t>
      </w:r>
      <w:hyperlink w:anchor="fig-Pigm">
        <w:r>
          <w:rPr>
            <w:rStyle w:val="Lienhypertexte"/>
          </w:rPr>
          <w:t xml:space="preserve">Figure 13</w:t>
        </w:r>
      </w:hyperlink>
      <w:r>
        <w:t xml:space="preserve">). These two key features have been identified by the Neural Network as the two principal predictors to accurately identify brown algae (</w:t>
      </w:r>
      <w:hyperlink w:anchor="fig-VIP">
        <w:r>
          <w:rPr>
            <w:rStyle w:val="Lienhypertexte"/>
          </w:rPr>
          <w:t xml:space="preserve">Figure 10</w:t>
        </w:r>
      </w:hyperlink>
      <w:r>
        <w:t xml:space="preserve">). Similarly, the presence of phycoerythrin and phycocyanin in Rhodophyceae contributes to the lowest reflectance among all classes in the spectral range from 560 to 615 nm (</w:t>
      </w:r>
      <w:hyperlink w:anchor="fig-VIP">
        <w:r>
          <w:rPr>
            <w:rStyle w:val="Lienhypertexte"/>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 xml:space="preserve">Figure 10</w:t>
        </w:r>
      </w:hyperlink>
      <w:r>
        <w:t xml:space="preserve">). Indeed, the reflectance at 475 nm was higher for Bacillariophyceae than for any other vegetation class (</w:t>
      </w:r>
      <w:hyperlink w:anchor="fig-vegetation">
        <w:r>
          <w:rPr>
            <w:rStyle w:val="Lienhypertexte"/>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Titre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 xml:space="preserve">Figure 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Lienhypertexte"/>
          </w:rPr>
          <w:t xml:space="preserve">Equation 1</w:t>
        </w:r>
      </w:hyperlink>
      <w:r>
        <w:t xml:space="preserve">. This approach allowed us to eliminate the slight reflectance difference between the flights (</w:t>
      </w:r>
      <w:hyperlink w:anchor="fig-CompareRef">
        <w:r>
          <w:rPr>
            <w:rStyle w:val="Lienhypertexte"/>
          </w:rPr>
          <w:t xml:space="preserve">Figure 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Titre2"/>
      </w:pPr>
      <w:r>
        <w:t xml:space="preserve">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Lienhypertexte"/>
          </w:rPr>
          <w:t xml:space="preserve">Figure 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Corpsdetexte"/>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23"/>
    <w:bookmarkStart w:id="124" w:name="X358d9a53b4ed72181dfc2d93c4ce60c8d17bbcb"/>
    <w:p>
      <w:pPr>
        <w:pStyle w:val="Titre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Corpsdetexte"/>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Corpsdetexte"/>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228" w:name="conclusion"/>
    <w:p>
      <w:pPr>
        <w:pStyle w:val="Titre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Start w:id="227" w:name="refs"/>
    <w:bookmarkStart w:id="126" w:name="ref-adade2021"/>
    <w:p>
      <w:pPr>
        <w:pStyle w:val="Bibliographie"/>
      </w:pPr>
      <w:r>
        <w:t xml:space="preserve">Adade, R., Aibinu, A.M., Ekumah, B., Asaana, J., 2021. Unmanned aerial vehicle (UAV) applications in coastal zone management—a review. Environmental Monitoring and Assessment 193, 1–12.</w:t>
      </w:r>
    </w:p>
    <w:bookmarkEnd w:id="126"/>
    <w:bookmarkStart w:id="128" w:name="ref-agisoft"/>
    <w:p>
      <w:pPr>
        <w:pStyle w:val="Bibliographie"/>
      </w:pPr>
      <w:r>
        <w:t xml:space="preserve">Agisoft, 2019.</w:t>
      </w:r>
      <w:r>
        <w:t xml:space="preserve"> </w:t>
      </w:r>
      <w:hyperlink r:id="rId127">
        <w:r>
          <w:rPr>
            <w:rStyle w:val="Lienhypertexte"/>
          </w:rPr>
          <w:t xml:space="preserve">Agisoft metashape</w:t>
        </w:r>
      </w:hyperlink>
      <w:r>
        <w:t xml:space="preserve">.</w:t>
      </w:r>
    </w:p>
    <w:bookmarkEnd w:id="128"/>
    <w:bookmarkStart w:id="129" w:name="ref-angnuureng2022"/>
    <w:p>
      <w:pPr>
        <w:pStyle w:val="Bibliographie"/>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9"/>
    <w:bookmarkStart w:id="130" w:name="ref-bannari2022"/>
    <w:p>
      <w:pPr>
        <w:pStyle w:val="Bibliographie"/>
      </w:pPr>
      <w:r>
        <w:t xml:space="preserve">Bannari, A., Ali, T.S., Abahussain, A., 2022. The capabilities of sentinel-MSI (2A/2B) and landsat-OLI (8/9) in seagrass and algae species differentiation using spectral reflectance. Ocean Science 18, 361–388.</w:t>
      </w:r>
    </w:p>
    <w:bookmarkEnd w:id="130"/>
    <w:bookmarkStart w:id="131" w:name="ref-bargain2013seasonal"/>
    <w:p>
      <w:pPr>
        <w:pStyle w:val="Bibliographie"/>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1"/>
    <w:bookmarkStart w:id="132" w:name="ref-beach1997vivo"/>
    <w:p>
      <w:pPr>
        <w:pStyle w:val="Bibliographie"/>
      </w:pPr>
      <w:r>
        <w:t xml:space="preserve">Beach, K., Borgeas, H., Nishimura, N., Smith, C., 1997. In vivo absorbance spectra and the ecophysiology of reef macroalgae. Coral Reefs 16, 21–28.</w:t>
      </w:r>
    </w:p>
    <w:bookmarkEnd w:id="132"/>
    <w:bookmarkStart w:id="134" w:name="ref-Brunier2022Topographic"/>
    <w:p>
      <w:pPr>
        <w:pStyle w:val="Bibliographie"/>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3">
        <w:r>
          <w:rPr>
            <w:rStyle w:val="Lienhypertexte"/>
          </w:rPr>
          <w:t xml:space="preserve">https://doi.org/10.3390/RS14020307</w:t>
        </w:r>
      </w:hyperlink>
    </w:p>
    <w:bookmarkEnd w:id="134"/>
    <w:bookmarkStart w:id="136" w:name="ref-Cao2017"/>
    <w:p>
      <w:pPr>
        <w:pStyle w:val="Bibliographie"/>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5">
        <w:r>
          <w:rPr>
            <w:rStyle w:val="Lienhypertexte"/>
          </w:rPr>
          <w:t xml:space="preserve">https://doi.org/10.1139/cjfas-2016-0137</w:t>
        </w:r>
      </w:hyperlink>
    </w:p>
    <w:bookmarkEnd w:id="136"/>
    <w:bookmarkStart w:id="137" w:name="ref-cartaxana2016regulation"/>
    <w:p>
      <w:pPr>
        <w:pStyle w:val="Bibliographie"/>
      </w:pPr>
      <w:r>
        <w:t xml:space="preserve">Cartaxana, P., Cruz, S., Gameiro, C., Kühl, M., 2016. Regulation of intertidal microphytobenthos photosynthesis over a diel emersion period is strongly affected by diatom migration patterns. Frontiers in microbiology 7, 872.</w:t>
      </w:r>
    </w:p>
    <w:bookmarkEnd w:id="137"/>
    <w:bookmarkStart w:id="138" w:name="ref-casella2020"/>
    <w:p>
      <w:pPr>
        <w:pStyle w:val="Bibliographie"/>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ie"/>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ie"/>
      </w:pPr>
      <w:r>
        <w:t xml:space="preserve">Chefaoui, R.M., Duarte, C.M., Serrão, E.A., 2018. Dramatic loss of seagrass habitat under projected climate change in the mediterranean sea. Global change biology 24, 4919–4928.</w:t>
      </w:r>
    </w:p>
    <w:bookmarkEnd w:id="140"/>
    <w:bookmarkStart w:id="141" w:name="ref-christensen1977seaweeds"/>
    <w:p>
      <w:pPr>
        <w:pStyle w:val="Bibliographie"/>
      </w:pPr>
      <w:r>
        <w:t xml:space="preserve">Christensen, T., Dixon, P.S., Irvine, L.M., 1977. Seaweeds of the british isles: Tribophyceae (xanthophyceae). British Museum (Natural History).</w:t>
      </w:r>
    </w:p>
    <w:bookmarkEnd w:id="141"/>
    <w:bookmarkStart w:id="142" w:name="ref-coffer2023"/>
    <w:p>
      <w:pPr>
        <w:pStyle w:val="Bibliographie"/>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2"/>
    <w:bookmarkStart w:id="143" w:name="ref-collin2019improving"/>
    <w:p>
      <w:pPr>
        <w:pStyle w:val="Bibliographie"/>
      </w:pPr>
      <w:r>
        <w:t xml:space="preserve">Collin, A., Dubois, S., James, D., Houet, T., 2019. Improving intertidal reef mapping using UAV surface, red edge, and near-infrared data. Drones 3, 67.</w:t>
      </w:r>
    </w:p>
    <w:bookmarkEnd w:id="143"/>
    <w:bookmarkStart w:id="145" w:name="ref-COSTA2021107018"/>
    <w:p>
      <w:pPr>
        <w:pStyle w:val="Bibliographie"/>
      </w:pPr>
      <w:r>
        <w:t xml:space="preserve">Costa, V., Serôdio, J., Lillebø, A.I., Sousa, A.I., 2021. Use of hyperspectral reflectance to non-destructively estimate seagrass zostera noltei biomass. Ecological Indicators 121, 107018. https://doi.org/</w:t>
      </w:r>
      <w:hyperlink r:id="rId144">
        <w:r>
          <w:rPr>
            <w:rStyle w:val="Lienhypertexte"/>
          </w:rPr>
          <w:t xml:space="preserve">https://doi.org/10.1016/j.ecolind.2020.107018</w:t>
        </w:r>
      </w:hyperlink>
    </w:p>
    <w:bookmarkEnd w:id="145"/>
    <w:bookmarkStart w:id="147" w:name="ref-Davies2023"/>
    <w:p>
      <w:pPr>
        <w:pStyle w:val="Bibliographie"/>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6">
        <w:r>
          <w:rPr>
            <w:rStyle w:val="Lienhypertexte"/>
          </w:rPr>
          <w:t xml:space="preserve">https://doi.org/10.1016/j.rse.2023.113554</w:t>
        </w:r>
      </w:hyperlink>
    </w:p>
    <w:bookmarkEnd w:id="147"/>
    <w:bookmarkStart w:id="148" w:name="ref-davies2024sentinel"/>
    <w:p>
      <w:pPr>
        <w:pStyle w:val="Bibliographie"/>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48"/>
    <w:bookmarkStart w:id="149" w:name="ref-davies2024intertidal"/>
    <w:p>
      <w:pPr>
        <w:pStyle w:val="Bibliographie"/>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49"/>
    <w:bookmarkStart w:id="151" w:name="ref-BedeGbif"/>
    <w:p>
      <w:pPr>
        <w:pStyle w:val="Bibliographie"/>
      </w:pPr>
      <w:r>
        <w:t xml:space="preserve">Davies, B.F.R., Sousa, A.I., Figueira, R., Oiry, S., Gernez, P., Barillé, L., 2023b. Benthic intertidal vegetation from the tagus estuary and aveiro lagoon.</w:t>
      </w:r>
      <w:r>
        <w:t xml:space="preserve"> </w:t>
      </w:r>
      <w:hyperlink r:id="rId150">
        <w:r>
          <w:rPr>
            <w:rStyle w:val="Lienhypertexte"/>
          </w:rPr>
          <w:t xml:space="preserve">https://doi.org/10.15468/n4ak6x</w:t>
        </w:r>
      </w:hyperlink>
    </w:p>
    <w:bookmarkEnd w:id="151"/>
    <w:bookmarkStart w:id="152" w:name="ref-devlin2023nutrients"/>
    <w:p>
      <w:pPr>
        <w:pStyle w:val="Bibliographie"/>
      </w:pPr>
      <w:r>
        <w:t xml:space="preserve">Devlin, M., Brodie, J., 2023. Nutrients and eutrophication, in: Marine Pollution–Monitoring, Management and Mitigation. Springer, pp. 75–100.</w:t>
      </w:r>
    </w:p>
    <w:bookmarkEnd w:id="152"/>
    <w:bookmarkStart w:id="154" w:name="ref-Douay2022"/>
    <w:p>
      <w:pPr>
        <w:pStyle w:val="Bibliographie"/>
      </w:pPr>
      <w:r>
        <w:t xml:space="preserve">Douay, F., Verpoorter, C., Duong, G., Spilmont, N., Gevaert, F., 2022. New hyperspectral procedure to discriminate intertidal macroalgae. Remote Sensing 14.</w:t>
      </w:r>
      <w:r>
        <w:t xml:space="preserve"> </w:t>
      </w:r>
      <w:hyperlink r:id="rId153">
        <w:r>
          <w:rPr>
            <w:rStyle w:val="Lienhypertexte"/>
          </w:rPr>
          <w:t xml:space="preserve">https://doi.org/10.3390/rs14020346</w:t>
        </w:r>
      </w:hyperlink>
    </w:p>
    <w:bookmarkEnd w:id="154"/>
    <w:bookmarkStart w:id="155" w:name="ref-duffy2019"/>
    <w:p>
      <w:pPr>
        <w:pStyle w:val="Bibliographie"/>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5"/>
    <w:bookmarkStart w:id="156" w:name="ref-WFD2000"/>
    <w:p>
      <w:pPr>
        <w:pStyle w:val="Bibliographie"/>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6"/>
    <w:bookmarkStart w:id="157" w:name="ref-fairley2022drone"/>
    <w:p>
      <w:pPr>
        <w:pStyle w:val="Bibliographie"/>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7"/>
    <w:bookmarkStart w:id="158" w:name="ref-foden2007angiosperms"/>
    <w:p>
      <w:pPr>
        <w:pStyle w:val="Bibliographie"/>
      </w:pPr>
      <w:r>
        <w:t xml:space="preserve">Foden, J., Brazier, D., 2007. Angiosperms (seagrass) within the EU water framework directive: A UK perspective. Marine Pollution Bulletin 55, 181–195.</w:t>
      </w:r>
    </w:p>
    <w:bookmarkEnd w:id="158"/>
    <w:bookmarkStart w:id="159" w:name="ref-fyfe2003spatial"/>
    <w:p>
      <w:pPr>
        <w:pStyle w:val="Bibliographie"/>
      </w:pPr>
      <w:r>
        <w:t xml:space="preserve">Fyfe, S., 2003. Spatial and temporal variation in spectral reflectance: Are seagrass species spectrally distinct? Limnology and Oceanography 48, 464–479.</w:t>
      </w:r>
    </w:p>
    <w:bookmarkEnd w:id="159"/>
    <w:bookmarkStart w:id="160" w:name="ref-gardner2018"/>
    <w:p>
      <w:pPr>
        <w:pStyle w:val="Bibliographie"/>
      </w:pPr>
      <w:r>
        <w:t xml:space="preserve">Gardner, R.C., Finlayson, C., 2018. Global wetland outlook: State of the world’s wetlands and their services to people. Stetson Law.</w:t>
      </w:r>
    </w:p>
    <w:bookmarkEnd w:id="160"/>
    <w:bookmarkStart w:id="161" w:name="ref-haro2023biointertidal"/>
    <w:p>
      <w:pPr>
        <w:pStyle w:val="Bibliographie"/>
      </w:pPr>
      <w:r>
        <w:t xml:space="preserve">Haro, S., Jimenez-Reina, J., Bermejo, R., Morrison, L., 2023. BioIntertidal mapper software: A satellite approach for NDVI-based intertidal habitat mapping. SoftwareX 24, 101520.</w:t>
      </w:r>
    </w:p>
    <w:bookmarkEnd w:id="161"/>
    <w:bookmarkStart w:id="162" w:name="ref-hedley2018influence"/>
    <w:p>
      <w:pPr>
        <w:pStyle w:val="Bibliographie"/>
      </w:pPr>
      <w:r>
        <w:t xml:space="preserve">Hedley, J.D., Mirhakak, M., Wentworth, A., Dierssen, H.M., 2018. Influence of three-dimensional coral structures on hyperspectral benthic reflectance and water-leaving reflectance. Applied Sciences 8, 2688.</w:t>
      </w:r>
    </w:p>
    <w:bookmarkEnd w:id="162"/>
    <w:bookmarkStart w:id="163" w:name="ref-holon2018predictive"/>
    <w:p>
      <w:pPr>
        <w:pStyle w:val="Bibliographie"/>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3"/>
    <w:bookmarkStart w:id="164" w:name="ref-howard2018fastai"/>
    <w:p>
      <w:pPr>
        <w:pStyle w:val="Bibliographie"/>
      </w:pPr>
      <w:r>
        <w:t xml:space="preserve">Howard, J., others, 2018. Fastai.</w:t>
      </w:r>
    </w:p>
    <w:bookmarkEnd w:id="164"/>
    <w:bookmarkStart w:id="165" w:name="ref-jankowska2019"/>
    <w:p>
      <w:pPr>
        <w:pStyle w:val="Bibliographie"/>
      </w:pPr>
      <w:r>
        <w:t xml:space="preserve">Jankowska, E., Michel, L.N., Lepoint, G., Włodarska-Kowalczuk, M., 2019. Stabilizing effects of seagrass meadows on coastal water benthic food webs. Journal of Experimental Marine Biology and Ecology 510, 54–63.</w:t>
      </w:r>
    </w:p>
    <w:bookmarkEnd w:id="165"/>
    <w:bookmarkStart w:id="166" w:name="ref-joyce2023"/>
    <w:p>
      <w:pPr>
        <w:pStyle w:val="Bibliographie"/>
      </w:pPr>
      <w:r>
        <w:t xml:space="preserve">Joyce, K.E., Fickas, K.C., Kalamandeen, M., 2023. The unique value proposition for using drones to map coastal ecosystems. Cambridge Prisms: Coastal Futures 1, e6.</w:t>
      </w:r>
    </w:p>
    <w:bookmarkEnd w:id="166"/>
    <w:bookmarkStart w:id="167" w:name="ref-kirk1994light"/>
    <w:p>
      <w:pPr>
        <w:pStyle w:val="Bibliographie"/>
      </w:pPr>
      <w:r>
        <w:t xml:space="preserve">Kirk, J.T., 1994. Light and photosynthesis in aquatic ecosystems. Cambridge university press.</w:t>
      </w:r>
    </w:p>
    <w:bookmarkEnd w:id="167"/>
    <w:bookmarkStart w:id="168" w:name="ref-klemas2012remote"/>
    <w:p>
      <w:pPr>
        <w:pStyle w:val="Bibliographie"/>
      </w:pPr>
      <w:r>
        <w:t xml:space="preserve">Klemas, V., 2012. Remote sensing of algal blooms: An overview with case studies. Journal of coastal research 28, 34–43.</w:t>
      </w:r>
    </w:p>
    <w:bookmarkEnd w:id="168"/>
    <w:bookmarkStart w:id="169" w:name="ref-legare2022remote"/>
    <w:p>
      <w:pPr>
        <w:pStyle w:val="Bibliographie"/>
      </w:pPr>
      <w:r>
        <w:t xml:space="preserve">Légaré, B., Bélanger, S., Singh, R.K., Bernatchez, P., Cusson, M., 2022. Remote sensing of coastal vegetation phenology in a cold temperate intertidal system: Implications for classification of coastal habitats. Remote Sensing 14, 3000.</w:t>
      </w:r>
    </w:p>
    <w:bookmarkEnd w:id="169"/>
    <w:bookmarkStart w:id="170" w:name="ref-lin2018"/>
    <w:p>
      <w:pPr>
        <w:pStyle w:val="Bibliographie"/>
      </w:pPr>
      <w:r>
        <w:t xml:space="preserve">Lin, H., Sun, T., Zhou, Y., Gu, R., Zhang, X., Yang, W., 2018. Which genes in a typical intertidal seagrass (zostera japonica) indicate copper-, lead-, and cadmium pollution? Frontiers in Plant Science 9, 1545.</w:t>
      </w:r>
    </w:p>
    <w:bookmarkEnd w:id="170"/>
    <w:bookmarkStart w:id="171" w:name="ref-deSantos2019"/>
    <w:p>
      <w:pPr>
        <w:pStyle w:val="Bibliographie"/>
      </w:pPr>
      <w:r>
        <w:t xml:space="preserve">Los Santos, C.B. de, Krause-Jensen, D., Alcoverro, T., Marbà, N., Duarte, C.M., Van Katwijk, M.M., Pérez, M., Romero, J., Sánchez-Lizaso, J.L., Roca, G., others, 2019. Recent trend reversal for declining european seagrass meadows. Nature communications 10, 3356.</w:t>
      </w:r>
    </w:p>
    <w:bookmarkEnd w:id="171"/>
    <w:bookmarkStart w:id="172" w:name="ref-louime2017sargassum"/>
    <w:p>
      <w:pPr>
        <w:pStyle w:val="Bibliographie"/>
      </w:pPr>
      <w:r>
        <w:t xml:space="preserve">Louime, C., Fortune, J., Gervais, G., 2017. Sargassum invasion of coastal environments: A growing concern. American Journal of Environmental Sciences 13, 58–64.</w:t>
      </w:r>
    </w:p>
    <w:bookmarkEnd w:id="172"/>
    <w:bookmarkStart w:id="173" w:name="ref-marquet2024global"/>
    <w:p>
      <w:pPr>
        <w:pStyle w:val="Bibliographie"/>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3"/>
    <w:bookmarkStart w:id="174" w:name="ref-meleder2013vivo"/>
    <w:p>
      <w:pPr>
        <w:pStyle w:val="Bibliographie"/>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4"/>
    <w:bookmarkStart w:id="175" w:name="ref-menesguen2018marees"/>
    <w:p>
      <w:pPr>
        <w:pStyle w:val="Bibliographie"/>
      </w:pPr>
      <w:r>
        <w:t xml:space="preserve">Ménesguen, A., 2018. Les mar</w:t>
      </w:r>
      <w:r>
        <w:t xml:space="preserve">é</w:t>
      </w:r>
      <w:r>
        <w:t xml:space="preserve">es vertes: 40 cl</w:t>
      </w:r>
      <w:r>
        <w:t xml:space="preserve">é</w:t>
      </w:r>
      <w:r>
        <w:t xml:space="preserve">s pour comprendre. Editions Quae.</w:t>
      </w:r>
    </w:p>
    <w:bookmarkEnd w:id="175"/>
    <w:bookmarkStart w:id="177" w:name="ref-Miloslavich2018"/>
    <w:p>
      <w:pPr>
        <w:pStyle w:val="Bibliographie"/>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6">
        <w:r>
          <w:rPr>
            <w:rStyle w:val="Lienhypertexte"/>
          </w:rPr>
          <w:t xml:space="preserve">https://doi.org/10.1111/GCB.14108</w:t>
        </w:r>
      </w:hyperlink>
    </w:p>
    <w:bookmarkEnd w:id="177"/>
    <w:bookmarkStart w:id="178" w:name="ref-muller2018satellite"/>
    <w:p>
      <w:pPr>
        <w:pStyle w:val="Bibliographie"/>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8"/>
    <w:bookmarkStart w:id="179" w:name="ref-nebel2020review"/>
    <w:p>
      <w:pPr>
        <w:pStyle w:val="Bibliographie"/>
      </w:pPr>
      <w:r>
        <w:t xml:space="preserve">Nebel, S., Beege, M., Schneider, S., Rey, G.D., 2020. A review of photogrammetry and photorealistic 3D models in education from a psychological perspective, in: Frontiers in Education. Frontiers Media SA, p. 144.</w:t>
      </w:r>
    </w:p>
    <w:bookmarkEnd w:id="179"/>
    <w:bookmarkStart w:id="180" w:name="ref-nguyen2021"/>
    <w:p>
      <w:pPr>
        <w:pStyle w:val="Bibliographie"/>
      </w:pPr>
      <w:r>
        <w:t xml:space="preserve">Nguyen, H.M., Ralph, P.J., Marı́n-Guirao, L., Pernice, M., Procaccini, G., 2021. Seagrasses in an era of ocean warming: A review. Biological Reviews 96, 2009–2030.</w:t>
      </w:r>
    </w:p>
    <w:bookmarkEnd w:id="180"/>
    <w:bookmarkStart w:id="181" w:name="ref-nijland2019"/>
    <w:p>
      <w:pPr>
        <w:pStyle w:val="Bibliographie"/>
      </w:pPr>
      <w:r>
        <w:t xml:space="preserve">Nijland, W., Reshitnyk, L., Rubidge, E., 2019. Satellite remote sensing of canopy-forming kelp on a complex coastline: A novel procedure using the landsat image archive. Remote Sensing of Environment 220, 41–50.</w:t>
      </w:r>
    </w:p>
    <w:bookmarkEnd w:id="181"/>
    <w:bookmarkStart w:id="182" w:name="ref-nordlund2024one"/>
    <w:p>
      <w:pPr>
        <w:pStyle w:val="Bibliographie"/>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2"/>
    <w:bookmarkStart w:id="183" w:name="ref-oh2017use"/>
    <w:p>
      <w:pPr>
        <w:pStyle w:val="Bibliographie"/>
      </w:pPr>
      <w:r>
        <w:t xml:space="preserve">Oh, J., Kim, D., Lee, H., 2017. Use of a drone for mapping and time series image acquisition of tidal zones. Journal of the Korean Institute of Intelligent Systems 27, 119–125.</w:t>
      </w:r>
    </w:p>
    <w:bookmarkEnd w:id="183"/>
    <w:bookmarkStart w:id="184" w:name="ref-oiry2021using"/>
    <w:p>
      <w:pPr>
        <w:pStyle w:val="Bibliographie"/>
      </w:pPr>
      <w:r>
        <w:t xml:space="preserve">Oiry, S., Barillé, L., 2021. Using sentinel-2 satellite imagery to develop microphytobenthos-based water quality indices in estuaries. Ecological Indicators 121, 107184.</w:t>
      </w:r>
    </w:p>
    <w:bookmarkEnd w:id="184"/>
    <w:bookmarkStart w:id="185" w:name="ref-orth2006"/>
    <w:p>
      <w:pPr>
        <w:pStyle w:val="Bibliographie"/>
      </w:pPr>
      <w:r>
        <w:t xml:space="preserve">Orth, R.J., Carruthers, T.J., Dennison, W.C., Duarte, C.M., Fourqurean, J.W., Heck, K.L., Hughes, A.R., Kendrick, G.A., Kenworthy, W.J., Olyarnik, S., others, 2006. A global crisis for seagrass ecosystems. Bioscience 56, 987–996.</w:t>
      </w:r>
    </w:p>
    <w:bookmarkEnd w:id="185"/>
    <w:bookmarkStart w:id="186" w:name="ref-papathanasopoulou2019satellite"/>
    <w:p>
      <w:pPr>
        <w:pStyle w:val="Bibliographie"/>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6"/>
    <w:bookmarkStart w:id="187" w:name="ref-Pereira2013"/>
    <w:p>
      <w:pPr>
        <w:pStyle w:val="Bibliographie"/>
      </w:pPr>
      <w:r>
        <w:t xml:space="preserve">Pereira, H.M., Ferrier, S., Walters, M., Geller, G.N., Jongman, R.H., Scholes, R.J., Bruford, M.W., Brummitt, N., Butchart, S.H., Cardoso, A., others, 2013. Essential biodiversity variables. Science 339, 277–278.</w:t>
      </w:r>
    </w:p>
    <w:bookmarkEnd w:id="187"/>
    <w:bookmarkStart w:id="188" w:name="ref-piaser2023impact"/>
    <w:p>
      <w:pPr>
        <w:pStyle w:val="Bibliographie"/>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8"/>
    <w:bookmarkStart w:id="189" w:name="ref-ralph2002"/>
    <w:p>
      <w:pPr>
        <w:pStyle w:val="Bibliographie"/>
      </w:pPr>
      <w:r>
        <w:t xml:space="preserve">Ralph, P., Polk, S., Moore, K., Orth, R., Smith Jr, W., 2002. Operation of the xanthophyll cycle in the seagrass zostera marina in response to variable irradiance. Journal of Experimental Marine Biology and Ecology 271, 189–207.</w:t>
      </w:r>
    </w:p>
    <w:bookmarkEnd w:id="189"/>
    <w:bookmarkStart w:id="190" w:name="ref-rasheed2011long"/>
    <w:p>
      <w:pPr>
        <w:pStyle w:val="Bibliographie"/>
      </w:pPr>
      <w:r>
        <w:t xml:space="preserve">Rasheed, M.A., Unsworth, R.K., 2011. Long-term climate-associated dynamics of a tropical seagrass meadow: Implications for the future. Marine Ecology Progress Series 422, 93–103.</w:t>
      </w:r>
    </w:p>
    <w:bookmarkEnd w:id="190"/>
    <w:bookmarkStart w:id="191" w:name="ref-ratnarajah2023monitoring"/>
    <w:p>
      <w:pPr>
        <w:pStyle w:val="Bibliographie"/>
      </w:pPr>
      <w:r>
        <w:t xml:space="preserve">Ratnarajah, L., Abu-Alhaija, R., Atkinson, A., Batten, S., Bax, N.J., Bernard, K.S., Canonico, G., Cornils, A., Everett, J.D., Grigoratou, M., others, 2023. Monitoring and modelling marine zooplankton in a changing climate. Nature Communications 14, 564.</w:t>
      </w:r>
    </w:p>
    <w:bookmarkEnd w:id="191"/>
    <w:bookmarkStart w:id="192" w:name="ref-repolho2017seagrass"/>
    <w:p>
      <w:pPr>
        <w:pStyle w:val="Bibliographie"/>
      </w:pPr>
      <w:r>
        <w:t xml:space="preserve">Repolho, T., Duarte, B., Dionı́sio, G., Paula, J.R., Lopes, A.R., Rosa, I.C., Grilo, T.F., Caçador, I., Calado, R., Rosa, R., 2017. Seagrass ecophysiological performance under ocean warming and acidification. Scientific Reports 7, 41443.</w:t>
      </w:r>
    </w:p>
    <w:bookmarkEnd w:id="192"/>
    <w:bookmarkStart w:id="194" w:name="ref-Roca2022"/>
    <w:p>
      <w:pPr>
        <w:pStyle w:val="Bibliographie"/>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3">
        <w:r>
          <w:rPr>
            <w:rStyle w:val="Lienhypertexte"/>
          </w:rPr>
          <w:t xml:space="preserve">https://doi.org/10.3389/fmars.2022.1004012</w:t>
        </w:r>
      </w:hyperlink>
    </w:p>
    <w:bookmarkEnd w:id="194"/>
    <w:bookmarkStart w:id="195" w:name="ref-Roman2021"/>
    <w:p>
      <w:pPr>
        <w:pStyle w:val="Bibliographie"/>
      </w:pPr>
      <w:r>
        <w:t xml:space="preserve">Román, A., Tovar-Sánchez, A., Olivé, I., Navarro, G., 2021. Using a UAV-mounted multispectral camera for the monitoring of marine macrophytes. Frontiers in Marine Science 1225.</w:t>
      </w:r>
    </w:p>
    <w:bookmarkEnd w:id="195"/>
    <w:bookmarkStart w:id="196" w:name="ref-rossiter2020uav"/>
    <w:p>
      <w:pPr>
        <w:pStyle w:val="Bibliographie"/>
      </w:pPr>
      <w:r>
        <w:t xml:space="preserve">Rossiter, T., Furey, T., McCarthy, T., Stengel, D.B., 2020. UAV-mounted hyperspectral mapping of intertidal macroalgae. Estuarine, Coastal and Shelf Science 242, 106789.</w:t>
      </w:r>
    </w:p>
    <w:bookmarkEnd w:id="196"/>
    <w:bookmarkStart w:id="198" w:name="ref-SCHIBALSKI2022101414"/>
    <w:p>
      <w:pPr>
        <w:pStyle w:val="Bibliographie"/>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7">
        <w:r>
          <w:rPr>
            <w:rStyle w:val="Lienhypertexte"/>
          </w:rPr>
          <w:t xml:space="preserve">https://doi.org/10.1016/j.ecoser.2022.101414</w:t>
        </w:r>
      </w:hyperlink>
    </w:p>
    <w:bookmarkEnd w:id="198"/>
    <w:bookmarkStart w:id="199" w:name="ref-schneider2012nih"/>
    <w:p>
      <w:pPr>
        <w:pStyle w:val="Bibliographie"/>
      </w:pPr>
      <w:r>
        <w:t xml:space="preserve">Schneider, C.A., Rasband, W.S., Eliceiri, K.W., 2012. NIH image to ImageJ: 25 years of image analysis. Nature methods 9, 671–675.</w:t>
      </w:r>
    </w:p>
    <w:bookmarkEnd w:id="199"/>
    <w:bookmarkStart w:id="201" w:name="ref-rs13081408"/>
    <w:p>
      <w:pPr>
        <w:pStyle w:val="Bibliographie"/>
      </w:pPr>
      <w:r>
        <w:t xml:space="preserve">Schreyers, L., Emmerik, T. van, Biermann, L., Le Lay, Y.-F., 2021. Spotting green tides over brittany from space: Three decades of monitoring with landsat imagery. Remote Sensing 13.</w:t>
      </w:r>
      <w:r>
        <w:t xml:space="preserve"> </w:t>
      </w:r>
      <w:hyperlink r:id="rId200">
        <w:r>
          <w:rPr>
            <w:rStyle w:val="Lienhypertexte"/>
          </w:rPr>
          <w:t xml:space="preserve">https://doi.org/10.3390/rs13081408</w:t>
        </w:r>
      </w:hyperlink>
    </w:p>
    <w:bookmarkEnd w:id="201"/>
    <w:bookmarkStart w:id="203" w:name="ref-Slaton2001"/>
    <w:p>
      <w:pPr>
        <w:pStyle w:val="Bibliographie"/>
      </w:pPr>
      <w:r>
        <w:t xml:space="preserve">Slaton, M.R., Raymond Hunt Jr., E., Smith, W.K., 2001. Estimating near-infrared leaf reflectance from leaf structural characteristics. American Journal of Botany 88, 278–284. https://doi.org/</w:t>
      </w:r>
      <w:hyperlink r:id="rId202">
        <w:r>
          <w:rPr>
            <w:rStyle w:val="Lienhypertexte"/>
          </w:rPr>
          <w:t xml:space="preserve">https://doi.org/10.2307/2657019</w:t>
        </w:r>
      </w:hyperlink>
    </w:p>
    <w:bookmarkEnd w:id="203"/>
    <w:bookmarkStart w:id="204" w:name="ref-soissons2018"/>
    <w:p>
      <w:pPr>
        <w:pStyle w:val="Bibliographie"/>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4"/>
    <w:bookmarkStart w:id="205" w:name="ref-sousa2017blue"/>
    <w:p>
      <w:pPr>
        <w:pStyle w:val="Bibliographie"/>
      </w:pPr>
      <w:r>
        <w:t xml:space="preserve">Sousa, A.I., Santos, D.B., Silva, E.F. da, Sousa, L.P., Cleary, D.F., Soares, A.M., Lillebø, A.I., 2017. ‘Blue carbon’and nutrient stocks of salt marshes at a temperate coastal lagoon (ria de aveiro, portugal). Scientific reports 7, 41225.</w:t>
      </w:r>
    </w:p>
    <w:bookmarkEnd w:id="205"/>
    <w:bookmarkStart w:id="206" w:name="ref-sousa2019blue"/>
    <w:p>
      <w:pPr>
        <w:pStyle w:val="Bibliographie"/>
      </w:pPr>
      <w:r>
        <w:t xml:space="preserve">Sousa, A.I., Silva, J.F. da, Azevedo, A., Lillebø, A.I., 2019. Blue carbon stock in zostera noltei meadows at ria de aveiro coastal lagoon (portugal) over a decade. Scientific reports 9, 14387.</w:t>
      </w:r>
    </w:p>
    <w:bookmarkEnd w:id="206"/>
    <w:bookmarkStart w:id="207" w:name="ref-sutton2011european"/>
    <w:p>
      <w:pPr>
        <w:pStyle w:val="Bibliographie"/>
      </w:pPr>
      <w:r>
        <w:t xml:space="preserve">Sutton, M.A., Van Grinsven, H., Billen, G., Bleeker, A., Bouwman, A., Oenema, O., 2011. European nitrogen assessement-summary for policy makers, in: The European Nitrogen Assessment. Sources, Effects and Policy Perspectives. pp. xxiv–xxxiv.</w:t>
      </w:r>
    </w:p>
    <w:bookmarkEnd w:id="207"/>
    <w:bookmarkStart w:id="208" w:name="ref-tallam2023"/>
    <w:p>
      <w:pPr>
        <w:pStyle w:val="Bibliographie"/>
      </w:pPr>
      <w:r>
        <w:t xml:space="preserve">Tallam, K., Nguyen, N., Ventura, J., Fricker, A., Calhoun, S., O’Leary, J., Fitzgibbons, M., Robbins, I., Walter, R.K., 2023. Application of deep learning for classification of intertidal eelgrass from drone-acquired imagery. Remote Sensing 15, 2321.</w:t>
      </w:r>
    </w:p>
    <w:bookmarkEnd w:id="208"/>
    <w:bookmarkStart w:id="210" w:name="ref-Traganos2018"/>
    <w:p>
      <w:pPr>
        <w:pStyle w:val="Bibliographie"/>
      </w:pPr>
      <w:r>
        <w:t xml:space="preserve">Traganos, D., Reinartz, P., 2018. Mapping mediterranean seagrasses with sentinel-2 imagery. Marine Pollution Bulletin 134, 197–209.</w:t>
      </w:r>
      <w:r>
        <w:t xml:space="preserve"> </w:t>
      </w:r>
      <w:hyperlink r:id="rId209">
        <w:r>
          <w:rPr>
            <w:rStyle w:val="Lienhypertexte"/>
          </w:rPr>
          <w:t xml:space="preserve">https://doi.org/10.1016/j.marpolbul.2017.06.075</w:t>
        </w:r>
      </w:hyperlink>
    </w:p>
    <w:bookmarkEnd w:id="210"/>
    <w:bookmarkStart w:id="211" w:name="ref-tuya2013"/>
    <w:p>
      <w:pPr>
        <w:pStyle w:val="Bibliographie"/>
      </w:pPr>
      <w:r>
        <w:t xml:space="preserve">Tuya, F., Hernandez-Zerpa, H., Espino, F., Haroun, R., 2013. Drastic decadal decline of the seagrass cymodocea nodosa at gran canaria (eastern atlantic): Interactions with the green algae caulerpa prolifera. Aquatic Botany 105, 1–6.</w:t>
      </w:r>
    </w:p>
    <w:bookmarkEnd w:id="211"/>
    <w:bookmarkStart w:id="212" w:name="ref-unsworth2022"/>
    <w:p>
      <w:pPr>
        <w:pStyle w:val="Bibliographie"/>
      </w:pPr>
      <w:r>
        <w:t xml:space="preserve">Unsworth, R.K., Cullen-Unsworth, L.C., Jones, B.L., Lilley, R.J., 2022. The planetary role of seagrass conservation. Science 377, 609–613.</w:t>
      </w:r>
    </w:p>
    <w:bookmarkEnd w:id="212"/>
    <w:bookmarkStart w:id="213" w:name="ref-veettil2020opportunities"/>
    <w:p>
      <w:pPr>
        <w:pStyle w:val="Bibliographie"/>
      </w:pPr>
      <w:r>
        <w:t xml:space="preserve">Veettil, B.K., Ward, R.D., Lima, M.D.A.C., Stankovic, M., Hoai, P.N., Quang, N.X., 2020. Opportunities for seagrass research derived from remote sensing: A review of current methods. Ecological Indicators 117, 106560.</w:t>
      </w:r>
    </w:p>
    <w:bookmarkEnd w:id="213"/>
    <w:bookmarkStart w:id="214" w:name="ref-villalobos2023remote"/>
    <w:p>
      <w:pPr>
        <w:pStyle w:val="Bibliographie"/>
      </w:pPr>
      <w:r>
        <w:t xml:space="preserve">Villalobos Perna, P., Di Febbraro, M., Carranza, M.L., Marzialetti, F., Innangi, M., 2023. Remote sensing and invasive plants in coastal ecosystems: What we know so far and future prospects. Land 12, 341.</w:t>
      </w:r>
    </w:p>
    <w:bookmarkEnd w:id="214"/>
    <w:bookmarkStart w:id="215" w:name="ref-villares1999nitrogen"/>
    <w:p>
      <w:pPr>
        <w:pStyle w:val="Bibliographie"/>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5"/>
    <w:bookmarkStart w:id="216" w:name="ref-wang2022"/>
    <w:p>
      <w:pPr>
        <w:pStyle w:val="Bibliographie"/>
      </w:pPr>
      <w:r>
        <w:t xml:space="preserve">Wang, Z., Fang, Z., Liang, J., Song, X., 2022. Assessment of global habitat suitability and risk of ocean green tides. Harmful Algae 119, 102324.</w:t>
      </w:r>
    </w:p>
    <w:bookmarkEnd w:id="216"/>
    <w:bookmarkStart w:id="218" w:name="ref-WEI2015399"/>
    <w:p>
      <w:pPr>
        <w:pStyle w:val="Bibliographie"/>
      </w:pPr>
      <w:r>
        <w:t xml:space="preserve">Wei, P., Lu, Z., Song, J., 2015. Variable importance analysis: A comprehensive review. Reliability Engineering and System Safety 142, 399–432. https://doi.org/</w:t>
      </w:r>
      <w:hyperlink r:id="rId217">
        <w:r>
          <w:rPr>
            <w:rStyle w:val="Lienhypertexte"/>
          </w:rPr>
          <w:t xml:space="preserve">https://doi.org/10.1016/j.ress.2015.05.018</w:t>
        </w:r>
      </w:hyperlink>
    </w:p>
    <w:bookmarkEnd w:id="218"/>
    <w:bookmarkStart w:id="219" w:name="ref-xu2021"/>
    <w:p>
      <w:pPr>
        <w:pStyle w:val="Bibliographie"/>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9"/>
    <w:bookmarkStart w:id="220" w:name="ref-ye2011green"/>
    <w:p>
      <w:pPr>
        <w:pStyle w:val="Bibliographie"/>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0"/>
    <w:bookmarkStart w:id="222" w:name="ref-Zoffoli2021"/>
    <w:p>
      <w:pPr>
        <w:pStyle w:val="Bibliographie"/>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1">
        <w:r>
          <w:rPr>
            <w:rStyle w:val="Lienhypertexte"/>
          </w:rPr>
          <w:t xml:space="preserve">https://doi.org/10.1016/j.ecolind.2021.108033</w:t>
        </w:r>
      </w:hyperlink>
    </w:p>
    <w:bookmarkEnd w:id="222"/>
    <w:bookmarkStart w:id="224" w:name="ref-Zoffoli2022"/>
    <w:p>
      <w:pPr>
        <w:pStyle w:val="Bibliographie"/>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3">
        <w:r>
          <w:rPr>
            <w:rStyle w:val="Lienhypertexte"/>
          </w:rPr>
          <w:t xml:space="preserve">https://doi.org/10.1002/rse2.319</w:t>
        </w:r>
      </w:hyperlink>
    </w:p>
    <w:bookmarkEnd w:id="224"/>
    <w:bookmarkStart w:id="226" w:name="ref-ZOFFOLI2020112020"/>
    <w:p>
      <w:pPr>
        <w:pStyle w:val="Bibliographie"/>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5">
        <w:r>
          <w:rPr>
            <w:rStyle w:val="Lienhypertexte"/>
          </w:rPr>
          <w:t xml:space="preserve">https://doi.org/10.1016/j.rse.2020.112020</w:t>
        </w:r>
      </w:hyperlink>
    </w:p>
    <w:bookmarkEnd w:id="226"/>
    <w:bookmarkEnd w:id="227"/>
    <w:bookmarkEnd w:id="228"/>
    <w:sectPr w:rsidR="00CB5A6B" w:rsidRPr="00140A00" w:rsidSect="00E71D04">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EA454B4C"/>
    <w:multiLevelType w:val="multilevel"/>
    <w:tmpl w:val="B172D9D4"/>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15081ED4"/>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D667E20"/>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3236C63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B902FF0C"/>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C972AA1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774AF55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00D2D9E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D79280A6"/>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0292E3D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F7CE3594"/>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1C344B8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1F5F35B8"/>
    <w:multiLevelType w:val="multilevel"/>
    <w:tmpl w:val="99CCB8CC"/>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3">
    <w:nsid w:val="2C1AE401"/>
    <w:multiLevelType w:val="multilevel"/>
    <w:tmpl w:val="553C69A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3419667" w:numId="1">
    <w:abstractNumId w:val="11"/>
  </w:num>
  <w:num w16cid:durableId="362556031" w:numId="2">
    <w:abstractNumId w:val="11"/>
  </w:num>
  <w:num w16cid:durableId="22830133"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8775770" w:numId="4">
    <w:abstractNumId w:val="10"/>
  </w:num>
  <w:num w16cid:durableId="871575922" w:numId="5">
    <w:abstractNumId w:val="8"/>
  </w:num>
  <w:num w16cid:durableId="1031109145" w:numId="6">
    <w:abstractNumId w:val="7"/>
  </w:num>
  <w:num w16cid:durableId="1388065319" w:numId="7">
    <w:abstractNumId w:val="6"/>
  </w:num>
  <w:num w16cid:durableId="921141021" w:numId="8">
    <w:abstractNumId w:val="5"/>
  </w:num>
  <w:num w16cid:durableId="588387201" w:numId="9">
    <w:abstractNumId w:val="9"/>
  </w:num>
  <w:num w16cid:durableId="1199318719" w:numId="10">
    <w:abstractNumId w:val="4"/>
  </w:num>
  <w:num w16cid:durableId="1587375166" w:numId="11">
    <w:abstractNumId w:val="3"/>
  </w:num>
  <w:num w16cid:durableId="1904675652" w:numId="12">
    <w:abstractNumId w:val="2"/>
  </w:num>
  <w:num w16cid:durableId="141892625" w:numId="13">
    <w:abstractNumId w:val="1"/>
  </w:num>
  <w:num w16cid:durableId="1140465206" w:numId="14">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60810"/>
    <w:rsid w:val="006669AD"/>
    <w:rsid w:val="006A2B3D"/>
    <w:rsid w:val="00723926"/>
    <w:rsid w:val="00784D58"/>
    <w:rsid w:val="008469DF"/>
    <w:rsid w:val="008C01D6"/>
    <w:rsid w:val="008C31BE"/>
    <w:rsid w:val="008D6863"/>
    <w:rsid w:val="00922E99"/>
    <w:rsid w:val="00970875"/>
    <w:rsid w:val="00A81D49"/>
    <w:rsid w:val="00AF77BD"/>
    <w:rsid w:val="00B07AAC"/>
    <w:rsid w:val="00B86B75"/>
    <w:rsid w:val="00BC48D5"/>
    <w:rsid w:val="00C14692"/>
    <w:rsid w:val="00C36279"/>
    <w:rsid w:val="00CB5A6B"/>
    <w:rsid w:val="00D27D20"/>
    <w:rsid w:val="00DD36C3"/>
    <w:rsid w:val="00E315A3"/>
    <w:rsid w:val="00E71D04"/>
    <w:rsid w:val="00ED5C1B"/>
    <w:rsid w:val="00EF34B1"/>
    <w:rsid w:val="00F66BB3"/>
    <w:rsid w:val="00F84C2F"/>
    <w:rsid w:val="00FF593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F5DB7"/>
    <w:pPr>
      <w:jc w:val="both"/>
    </w:pPr>
    <w:rPr>
      <w:rFonts w:ascii="Times New Roman" w:hAnsi="Times New Roman"/>
    </w:rPr>
  </w:style>
  <w:style w:styleId="Titre1" w:type="paragraph">
    <w:name w:val="heading 1"/>
    <w:basedOn w:val="Normal"/>
    <w:next w:val="Corpsdetexte"/>
    <w:uiPriority w:val="9"/>
    <w:qFormat/>
    <w:rsid w:val="00A81D49"/>
    <w:pPr>
      <w:keepNext/>
      <w:keepLines/>
      <w:spacing w:after="0" w:before="480"/>
      <w:outlineLvl w:val="0"/>
    </w:pPr>
    <w:rPr>
      <w:rFonts w:cstheme="majorBidi" w:eastAsiaTheme="majorEastAsia"/>
      <w:b/>
      <w:bCs/>
      <w:sz w:val="36"/>
      <w:szCs w:val="32"/>
      <w:u w:val="single"/>
    </w:rPr>
  </w:style>
  <w:style w:styleId="Titre2" w:type="paragraph">
    <w:name w:val="heading 2"/>
    <w:basedOn w:val="Normal"/>
    <w:next w:val="Corpsdetexte"/>
    <w:uiPriority w:val="9"/>
    <w:unhideWhenUsed/>
    <w:qFormat/>
    <w:rsid w:val="00A81D49"/>
    <w:pPr>
      <w:keepNext/>
      <w:keepLines/>
      <w:spacing w:after="0" w:before="200"/>
      <w:outlineLvl w:val="1"/>
    </w:pPr>
    <w:rPr>
      <w:rFonts w:cstheme="majorBidi" w:eastAsiaTheme="majorEastAsia"/>
      <w:b/>
      <w:bCs/>
      <w:sz w:val="32"/>
      <w:szCs w:val="32"/>
    </w:rPr>
  </w:style>
  <w:style w:styleId="Titre3" w:type="paragraph">
    <w:name w:val="heading 3"/>
    <w:basedOn w:val="Normal"/>
    <w:next w:val="Corpsdetexte"/>
    <w:uiPriority w:val="9"/>
    <w:unhideWhenUsed/>
    <w:qFormat/>
    <w:rsid w:val="00A81D49"/>
    <w:pPr>
      <w:keepNext/>
      <w:keepLines/>
      <w:spacing w:after="0" w:before="200"/>
      <w:outlineLvl w:val="2"/>
    </w:pPr>
    <w:rPr>
      <w:rFonts w:cstheme="majorBidi" w:eastAsiaTheme="majorEastAsia"/>
      <w:bCs/>
      <w:sz w:val="28"/>
      <w:szCs w:val="28"/>
    </w:rPr>
  </w:style>
  <w:style w:styleId="Titre4" w:type="paragraph">
    <w:name w:val="heading 4"/>
    <w:basedOn w:val="Normal"/>
    <w:next w:val="Corpsdetexte"/>
    <w:uiPriority w:val="9"/>
    <w:unhideWhenUsed/>
    <w:qFormat/>
    <w:rsid w:val="00A81D49"/>
    <w:pPr>
      <w:keepNext/>
      <w:keepLines/>
      <w:spacing w:after="0" w:before="200"/>
      <w:outlineLvl w:val="3"/>
    </w:pPr>
    <w:rPr>
      <w:rFonts w:cstheme="majorBidi" w:eastAsiaTheme="majorEastAsia"/>
      <w:b/>
      <w:bCs/>
    </w:rPr>
  </w:style>
  <w:style w:styleId="Titre5" w:type="paragraph">
    <w:name w:val="heading 5"/>
    <w:basedOn w:val="Normal"/>
    <w:next w:val="Corpsdetexte"/>
    <w:uiPriority w:val="9"/>
    <w:unhideWhenUsed/>
    <w:qFormat/>
    <w:rsid w:val="00A81D49"/>
    <w:pPr>
      <w:keepNext/>
      <w:keepLines/>
      <w:spacing w:after="0" w:before="200"/>
      <w:outlineLvl w:val="4"/>
    </w:pPr>
    <w:rPr>
      <w:rFonts w:cstheme="majorBidi" w:eastAsiaTheme="majorEastAsia"/>
      <w:iCs/>
    </w:rPr>
  </w:style>
  <w:style w:styleId="Titre6" w:type="paragraph">
    <w:name w:val="heading 6"/>
    <w:basedOn w:val="Titre5"/>
    <w:next w:val="Corpsdetexte"/>
    <w:uiPriority w:val="9"/>
    <w:unhideWhenUsed/>
    <w:qFormat/>
    <w:rsid w:val="00140A00"/>
    <w:pPr>
      <w:numPr>
        <w:ilvl w:val="5"/>
      </w:numPr>
      <w:outlineLvl w:val="5"/>
    </w:pPr>
  </w:style>
  <w:style w:styleId="Titre7" w:type="paragraph">
    <w:name w:val="heading 7"/>
    <w:basedOn w:val="Titre6"/>
    <w:next w:val="Corpsdetexte"/>
    <w:uiPriority w:val="9"/>
    <w:unhideWhenUsed/>
    <w:qFormat/>
    <w:rsid w:val="00140A00"/>
    <w:pPr>
      <w:outlineLvl w:val="6"/>
    </w:pPr>
  </w:style>
  <w:style w:styleId="Titre8" w:type="paragraph">
    <w:name w:val="heading 8"/>
    <w:basedOn w:val="Titre7"/>
    <w:next w:val="Corpsdetexte"/>
    <w:uiPriority w:val="9"/>
    <w:unhideWhenUsed/>
    <w:qFormat/>
    <w:rsid w:val="003B301E"/>
    <w:pPr>
      <w:numPr>
        <w:ilvl w:val="0"/>
      </w:numPr>
      <w:outlineLvl w:val="7"/>
    </w:pPr>
    <w:rPr>
      <w:b/>
      <w:sz w:val="32"/>
    </w:rPr>
  </w:style>
  <w:style w:styleId="Titre9" w:type="paragraph">
    <w:name w:val="heading 9"/>
    <w:basedOn w:val="Titre8"/>
    <w:next w:val="Corpsdetexte"/>
    <w:uiPriority w:val="9"/>
    <w:unhideWhenUsed/>
    <w:qFormat/>
    <w:rsid w:val="00922E99"/>
    <w:pPr>
      <w:outlineLvl w:val="8"/>
    </w:pPr>
    <w:rPr>
      <w:sz w:val="36"/>
      <w:u w:val="single"/>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370325"/>
    <w:pPr>
      <w:spacing w:after="180" w:before="180"/>
    </w:pPr>
    <w:rPr>
      <w:sz w:val="22"/>
    </w:rPr>
  </w:style>
  <w:style w:customStyle="1" w:styleId="FirstParagraph" w:type="paragraph">
    <w:name w:val="First Paragraph"/>
    <w:basedOn w:val="Corpsdetexte"/>
    <w:next w:val="Corpsdetexte"/>
    <w:qFormat/>
    <w:rsid w:val="004F5DB7"/>
  </w:style>
  <w:style w:customStyle="1" w:styleId="Compact" w:type="paragraph">
    <w:name w:val="Compact"/>
    <w:basedOn w:val="Corpsdetexte"/>
    <w:qFormat/>
    <w:pPr>
      <w:spacing w:after="36" w:before="36"/>
    </w:pPr>
  </w:style>
  <w:style w:styleId="Titre" w:type="paragraph">
    <w:name w:val="Title"/>
    <w:basedOn w:val="Normal"/>
    <w:next w:val="Corpsdetexte"/>
    <w:qFormat/>
    <w:rsid w:val="00CB5A6B"/>
    <w:pPr>
      <w:keepNext/>
      <w:keepLines/>
      <w:spacing w:after="240" w:before="480"/>
      <w:jc w:val="center"/>
    </w:pPr>
    <w:rPr>
      <w:rFonts w:cstheme="majorBidi" w:eastAsiaTheme="majorEastAsia"/>
      <w:b/>
      <w:bCs/>
      <w:sz w:val="44"/>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CB5A6B"/>
    <w:pPr>
      <w:keepNext/>
      <w:keepLines/>
      <w:jc w:val="center"/>
    </w:pPr>
    <w:rPr>
      <w:rFonts w:ascii="Times New Roman" w:hAnsi="Times New Roman"/>
    </w:rPr>
  </w:style>
  <w:style w:styleId="Date" w:type="paragraph">
    <w:name w:val="Date"/>
    <w:next w:val="Corpsdetexte"/>
    <w:qFormat/>
    <w:rsid w:val="00CB5A6B"/>
    <w:pPr>
      <w:keepNext/>
      <w:keepLines/>
      <w:jc w:val="center"/>
    </w:pPr>
    <w:rPr>
      <w:rFonts w:ascii="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FirstParagraph"/>
    <w:qFormat/>
    <w:rsid w:val="008C31BE"/>
  </w:style>
  <w:style w:styleId="Normalcentr" w:type="paragraph">
    <w:name w:val="Block Text"/>
    <w:basedOn w:val="Corpsdetexte"/>
    <w:next w:val="Corpsdetexte"/>
    <w:uiPriority w:val="9"/>
    <w:unhideWhenUsed/>
    <w:qFormat/>
    <w:rsid w:val="00140A00"/>
    <w:pPr>
      <w:spacing w:after="100" w:before="100"/>
    </w:pPr>
    <w:rPr>
      <w:rFonts w:cstheme="majorBidi" w:eastAsiaTheme="majorEastAsia"/>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EF34B1"/>
    <w:pPr>
      <w:spacing w:after="240" w:before="120"/>
    </w:pPr>
  </w:style>
  <w:style w:customStyle="1" w:styleId="Fig" w:type="paragraph">
    <w:name w:val="Fig."/>
    <w:basedOn w:val="Normal"/>
  </w:style>
  <w:style w:customStyle="1" w:styleId="CaptionedFigure" w:type="paragraph">
    <w:name w:val="Captioned Figure"/>
    <w:basedOn w:val="Fig"/>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rsid w:val="00CB5A6B"/>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CorpsdetexteCar" w:type="character">
    <w:name w:val="Corps de texte Car"/>
    <w:basedOn w:val="Policepardfaut"/>
    <w:link w:val="Corpsdetexte"/>
    <w:rsid w:val="00370325"/>
    <w:rPr>
      <w:rFonts w:ascii="Times New Roman" w:hAnsi="Times New Roman"/>
      <w:sz w:val="22"/>
    </w:rPr>
  </w:style>
  <w:style w:styleId="Numrodeligne" w:type="character">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4696</Words>
  <Characters>25829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30465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2024-11-14T12:01:47Z</dcterms:created>
  <dcterms:modified xsi:type="dcterms:W3CDTF">2024-11-14T12:01:47Z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